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40" w:rsidRPr="005A056F" w:rsidRDefault="008F501C" w:rsidP="008F501C">
      <w:pPr>
        <w:rPr>
          <w:rFonts w:ascii="SassoonPrimary" w:hAnsi="SassoonPrimary"/>
          <w:sz w:val="32"/>
          <w:szCs w:val="32"/>
        </w:rPr>
      </w:pPr>
      <w:r w:rsidRPr="005A056F">
        <w:rPr>
          <w:noProof/>
          <w:sz w:val="32"/>
          <w:szCs w:val="32"/>
          <w:lang w:val="en-GB" w:eastAsia="en-GB"/>
        </w:rPr>
        <w:drawing>
          <wp:inline distT="0" distB="0" distL="0" distR="0" wp14:anchorId="047194C1" wp14:editId="14645521">
            <wp:extent cx="9419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79" cy="37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56F">
        <w:rPr>
          <w:rFonts w:ascii="SassoonPrimary" w:hAnsi="SassoonPrimary"/>
          <w:sz w:val="32"/>
          <w:szCs w:val="32"/>
        </w:rPr>
        <w:t xml:space="preserve">              </w:t>
      </w:r>
      <w:r w:rsidR="005A056F">
        <w:rPr>
          <w:rFonts w:ascii="SassoonPrimary" w:hAnsi="SassoonPrimary"/>
          <w:sz w:val="32"/>
          <w:szCs w:val="32"/>
        </w:rPr>
        <w:t xml:space="preserve">                    </w:t>
      </w:r>
      <w:r w:rsidRPr="005A056F">
        <w:rPr>
          <w:rFonts w:ascii="SassoonPrimary" w:hAnsi="SassoonPrimary"/>
          <w:sz w:val="32"/>
          <w:szCs w:val="32"/>
        </w:rPr>
        <w:t xml:space="preserve"> </w:t>
      </w:r>
      <w:r w:rsidR="00224FFA">
        <w:rPr>
          <w:rFonts w:ascii="SassoonPrimary" w:hAnsi="SassoonPrimary"/>
          <w:sz w:val="32"/>
          <w:szCs w:val="32"/>
        </w:rPr>
        <w:t xml:space="preserve">EYFS, Phonics, </w:t>
      </w:r>
      <w:r w:rsidR="00523CA0" w:rsidRPr="005A056F">
        <w:rPr>
          <w:rFonts w:ascii="SassoonPrimary" w:hAnsi="SassoonPrimary"/>
          <w:sz w:val="32"/>
          <w:szCs w:val="32"/>
        </w:rPr>
        <w:t xml:space="preserve">KS1 and KS2 SATs Results </w:t>
      </w:r>
      <w:r w:rsidRPr="005A056F">
        <w:rPr>
          <w:rFonts w:ascii="SassoonPrimary" w:hAnsi="SassoonPrimary"/>
          <w:sz w:val="32"/>
          <w:szCs w:val="32"/>
        </w:rPr>
        <w:t xml:space="preserve">     </w:t>
      </w:r>
    </w:p>
    <w:tbl>
      <w:tblPr>
        <w:tblStyle w:val="TableGrid"/>
        <w:tblpPr w:leftFromText="180" w:rightFromText="180" w:vertAnchor="text" w:horzAnchor="page" w:tblpX="3661" w:tblpY="108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224FFA" w:rsidTr="00224FFA">
        <w:tc>
          <w:tcPr>
            <w:tcW w:w="3237" w:type="dxa"/>
          </w:tcPr>
          <w:p w:rsidR="00224FFA" w:rsidRPr="008659F2" w:rsidRDefault="00224FFA" w:rsidP="00224FFA">
            <w:pPr>
              <w:rPr>
                <w:rFonts w:ascii="SassoonPrimary" w:hAnsi="SassoonPrimary"/>
              </w:rPr>
            </w:pPr>
            <w:r w:rsidRPr="008659F2">
              <w:rPr>
                <w:rFonts w:ascii="SassoonPrimary" w:hAnsi="SassoonPrimary"/>
              </w:rPr>
              <w:t>Early Years Foundation Stage</w:t>
            </w:r>
          </w:p>
        </w:tc>
        <w:tc>
          <w:tcPr>
            <w:tcW w:w="3237" w:type="dxa"/>
          </w:tcPr>
          <w:p w:rsidR="00224FFA" w:rsidRPr="008659F2" w:rsidRDefault="00224FFA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67</w:t>
            </w:r>
            <w:r w:rsidRPr="008659F2">
              <w:rPr>
                <w:rFonts w:ascii="SassoonPrimary" w:hAnsi="SassoonPrimary"/>
              </w:rPr>
              <w:t xml:space="preserve">% School </w:t>
            </w:r>
          </w:p>
        </w:tc>
        <w:tc>
          <w:tcPr>
            <w:tcW w:w="3238" w:type="dxa"/>
          </w:tcPr>
          <w:p w:rsidR="00224FFA" w:rsidRPr="008659F2" w:rsidRDefault="00445167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(national not yet known)</w:t>
            </w:r>
            <w:bookmarkStart w:id="0" w:name="_GoBack"/>
            <w:bookmarkEnd w:id="0"/>
          </w:p>
        </w:tc>
      </w:tr>
      <w:tr w:rsidR="00224FFA" w:rsidTr="00224FFA">
        <w:tc>
          <w:tcPr>
            <w:tcW w:w="3237" w:type="dxa"/>
          </w:tcPr>
          <w:p w:rsidR="00224FFA" w:rsidRPr="008659F2" w:rsidRDefault="00224FFA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Phonics </w:t>
            </w:r>
          </w:p>
        </w:tc>
        <w:tc>
          <w:tcPr>
            <w:tcW w:w="3237" w:type="dxa"/>
          </w:tcPr>
          <w:p w:rsidR="00224FFA" w:rsidRPr="008659F2" w:rsidRDefault="004D1C42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73</w:t>
            </w:r>
            <w:r w:rsidR="00224FFA" w:rsidRPr="008659F2">
              <w:rPr>
                <w:rFonts w:ascii="SassoonPrimary" w:hAnsi="SassoonPrimary"/>
              </w:rPr>
              <w:t xml:space="preserve">% School </w:t>
            </w:r>
          </w:p>
        </w:tc>
        <w:tc>
          <w:tcPr>
            <w:tcW w:w="3238" w:type="dxa"/>
          </w:tcPr>
          <w:p w:rsidR="00224FFA" w:rsidRPr="008659F2" w:rsidRDefault="00445167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(national not yet known)</w:t>
            </w:r>
          </w:p>
        </w:tc>
      </w:tr>
    </w:tbl>
    <w:p w:rsidR="009A1825" w:rsidRPr="005A056F" w:rsidRDefault="005A056F" w:rsidP="008F501C">
      <w:pPr>
        <w:rPr>
          <w:rFonts w:ascii="SassoonPrimary" w:hAnsi="SassoonPrimary"/>
          <w:sz w:val="28"/>
          <w:szCs w:val="28"/>
        </w:rPr>
      </w:pPr>
      <w:r w:rsidRPr="005A056F">
        <w:rPr>
          <w:rFonts w:ascii="SassoonPrimary" w:hAnsi="SassoonPrimary"/>
          <w:sz w:val="28"/>
          <w:szCs w:val="28"/>
        </w:rPr>
        <w:t>2018 – 2019</w:t>
      </w:r>
      <w:r w:rsidR="009A1825" w:rsidRPr="005A056F">
        <w:rPr>
          <w:rFonts w:ascii="SassoonPrimary" w:hAnsi="SassoonPrimary"/>
          <w:sz w:val="28"/>
          <w:szCs w:val="28"/>
        </w:rPr>
        <w:t xml:space="preserve"> </w:t>
      </w:r>
    </w:p>
    <w:p w:rsidR="008659F2" w:rsidRPr="005A056F" w:rsidRDefault="008659F2" w:rsidP="008659F2">
      <w:pPr>
        <w:jc w:val="center"/>
        <w:rPr>
          <w:rFonts w:ascii="SassoonPrimary" w:hAnsi="SassoonPrimary"/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271"/>
        <w:gridCol w:w="1701"/>
        <w:gridCol w:w="2410"/>
        <w:gridCol w:w="2627"/>
        <w:gridCol w:w="2759"/>
        <w:gridCol w:w="2410"/>
      </w:tblGrid>
      <w:tr w:rsidR="008E264B" w:rsidTr="008E264B">
        <w:tc>
          <w:tcPr>
            <w:tcW w:w="1271" w:type="dxa"/>
            <w:vMerge w:val="restart"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</w:p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</w:p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KS1</w:t>
            </w:r>
          </w:p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410" w:type="dxa"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Foundations</w:t>
            </w:r>
          </w:p>
        </w:tc>
        <w:tc>
          <w:tcPr>
            <w:tcW w:w="2627" w:type="dxa"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Working towards</w:t>
            </w:r>
          </w:p>
        </w:tc>
        <w:tc>
          <w:tcPr>
            <w:tcW w:w="2759" w:type="dxa"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Expected Standard</w:t>
            </w:r>
          </w:p>
        </w:tc>
        <w:tc>
          <w:tcPr>
            <w:tcW w:w="2410" w:type="dxa"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Greater Depth</w:t>
            </w:r>
          </w:p>
        </w:tc>
      </w:tr>
      <w:tr w:rsidR="008E264B" w:rsidTr="008E264B">
        <w:tc>
          <w:tcPr>
            <w:tcW w:w="1271" w:type="dxa"/>
            <w:vMerge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</w:tcPr>
          <w:p w:rsidR="008E264B" w:rsidRDefault="00E554D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Reading </w:t>
            </w:r>
          </w:p>
        </w:tc>
        <w:tc>
          <w:tcPr>
            <w:tcW w:w="2410" w:type="dxa"/>
          </w:tcPr>
          <w:p w:rsidR="008E264B" w:rsidRDefault="0095368F" w:rsidP="009A1825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17</w:t>
            </w:r>
            <w:r w:rsidR="008E264B">
              <w:rPr>
                <w:rFonts w:ascii="SassoonPrimary" w:hAnsi="SassoonPrimary"/>
              </w:rPr>
              <w:t>%</w:t>
            </w:r>
          </w:p>
        </w:tc>
        <w:tc>
          <w:tcPr>
            <w:tcW w:w="2627" w:type="dxa"/>
          </w:tcPr>
          <w:p w:rsidR="008E264B" w:rsidRDefault="0095368F" w:rsidP="009A1825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17</w:t>
            </w:r>
            <w:r w:rsidR="008E264B">
              <w:rPr>
                <w:rFonts w:ascii="SassoonPrimary" w:hAnsi="SassoonPrimary"/>
              </w:rPr>
              <w:t>%</w:t>
            </w:r>
          </w:p>
        </w:tc>
        <w:tc>
          <w:tcPr>
            <w:tcW w:w="2759" w:type="dxa"/>
            <w:shd w:val="clear" w:color="auto" w:fill="FFFFFF" w:themeFill="background1"/>
          </w:tcPr>
          <w:p w:rsidR="008E264B" w:rsidRDefault="00DD36EA" w:rsidP="005A056F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67% (national not yet known</w:t>
            </w:r>
            <w:r w:rsidR="008E264B">
              <w:rPr>
                <w:rFonts w:ascii="SassoonPrimary" w:hAnsi="SassoonPrimary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8E264B" w:rsidRDefault="00DD36EA" w:rsidP="005A056F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20</w:t>
            </w:r>
            <w:r w:rsidR="008E264B">
              <w:rPr>
                <w:rFonts w:ascii="SassoonPrimary" w:hAnsi="SassoonPrimary"/>
              </w:rPr>
              <w:t xml:space="preserve">% </w:t>
            </w:r>
            <w:r>
              <w:rPr>
                <w:rFonts w:ascii="SassoonPrimary" w:hAnsi="SassoonPrimary"/>
              </w:rPr>
              <w:t>(national not yet known)</w:t>
            </w:r>
          </w:p>
        </w:tc>
      </w:tr>
      <w:tr w:rsidR="008E264B" w:rsidTr="008E264B">
        <w:tc>
          <w:tcPr>
            <w:tcW w:w="1271" w:type="dxa"/>
            <w:vMerge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</w:tcPr>
          <w:p w:rsidR="008E264B" w:rsidRDefault="00E554D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Writing</w:t>
            </w:r>
          </w:p>
        </w:tc>
        <w:tc>
          <w:tcPr>
            <w:tcW w:w="2410" w:type="dxa"/>
          </w:tcPr>
          <w:p w:rsidR="008E264B" w:rsidRDefault="0095368F" w:rsidP="009A1825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20</w:t>
            </w:r>
            <w:r w:rsidR="008E264B">
              <w:rPr>
                <w:rFonts w:ascii="SassoonPrimary" w:hAnsi="SassoonPrimary"/>
              </w:rPr>
              <w:t>%</w:t>
            </w:r>
          </w:p>
        </w:tc>
        <w:tc>
          <w:tcPr>
            <w:tcW w:w="2627" w:type="dxa"/>
          </w:tcPr>
          <w:p w:rsidR="008E264B" w:rsidRDefault="0095368F" w:rsidP="009A1825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13</w:t>
            </w:r>
            <w:r w:rsidR="008E264B">
              <w:rPr>
                <w:rFonts w:ascii="SassoonPrimary" w:hAnsi="SassoonPrimary"/>
              </w:rPr>
              <w:t>%</w:t>
            </w:r>
          </w:p>
        </w:tc>
        <w:tc>
          <w:tcPr>
            <w:tcW w:w="2759" w:type="dxa"/>
            <w:shd w:val="clear" w:color="auto" w:fill="FFFFFF" w:themeFill="background1"/>
          </w:tcPr>
          <w:p w:rsidR="008E264B" w:rsidRDefault="00DD36EA" w:rsidP="005A056F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63</w:t>
            </w:r>
            <w:r w:rsidR="008E264B">
              <w:rPr>
                <w:rFonts w:ascii="SassoonPrimary" w:hAnsi="SassoonPrimary"/>
              </w:rPr>
              <w:t xml:space="preserve">% </w:t>
            </w:r>
            <w:r>
              <w:rPr>
                <w:rFonts w:ascii="SassoonPrimary" w:hAnsi="SassoonPrimary"/>
              </w:rPr>
              <w:t>(national not yet known)</w:t>
            </w:r>
          </w:p>
        </w:tc>
        <w:tc>
          <w:tcPr>
            <w:tcW w:w="2410" w:type="dxa"/>
            <w:shd w:val="clear" w:color="auto" w:fill="FFFFFF" w:themeFill="background1"/>
          </w:tcPr>
          <w:p w:rsidR="008E264B" w:rsidRDefault="00DD36EA" w:rsidP="005A056F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13</w:t>
            </w:r>
            <w:r w:rsidR="008E264B">
              <w:rPr>
                <w:rFonts w:ascii="SassoonPrimary" w:hAnsi="SassoonPrimary"/>
              </w:rPr>
              <w:t xml:space="preserve">% </w:t>
            </w:r>
            <w:r>
              <w:rPr>
                <w:rFonts w:ascii="SassoonPrimary" w:hAnsi="SassoonPrimary"/>
              </w:rPr>
              <w:t>(national not yet known)</w:t>
            </w:r>
          </w:p>
        </w:tc>
      </w:tr>
      <w:tr w:rsidR="008E264B" w:rsidTr="008E264B">
        <w:tc>
          <w:tcPr>
            <w:tcW w:w="1271" w:type="dxa"/>
            <w:vMerge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Mathematics</w:t>
            </w:r>
            <w:r w:rsidR="00E554DB">
              <w:rPr>
                <w:rFonts w:ascii="SassoonPrimary" w:hAnsi="SassoonPrimary"/>
              </w:rPr>
              <w:t xml:space="preserve"> </w:t>
            </w:r>
          </w:p>
        </w:tc>
        <w:tc>
          <w:tcPr>
            <w:tcW w:w="2410" w:type="dxa"/>
          </w:tcPr>
          <w:p w:rsidR="008E264B" w:rsidRDefault="0095368F" w:rsidP="009A1825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17</w:t>
            </w:r>
            <w:r w:rsidR="008E264B">
              <w:rPr>
                <w:rFonts w:ascii="SassoonPrimary" w:hAnsi="SassoonPrimary"/>
              </w:rPr>
              <w:t>%</w:t>
            </w:r>
          </w:p>
        </w:tc>
        <w:tc>
          <w:tcPr>
            <w:tcW w:w="2627" w:type="dxa"/>
          </w:tcPr>
          <w:p w:rsidR="008E264B" w:rsidRDefault="0095368F" w:rsidP="009A1825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13%</w:t>
            </w:r>
          </w:p>
        </w:tc>
        <w:tc>
          <w:tcPr>
            <w:tcW w:w="2759" w:type="dxa"/>
            <w:shd w:val="clear" w:color="auto" w:fill="FFFFFF" w:themeFill="background1"/>
          </w:tcPr>
          <w:p w:rsidR="008E264B" w:rsidRDefault="00DD36EA" w:rsidP="005A056F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70</w:t>
            </w:r>
            <w:r w:rsidR="008E264B">
              <w:rPr>
                <w:rFonts w:ascii="SassoonPrimary" w:hAnsi="SassoonPrimary"/>
              </w:rPr>
              <w:t xml:space="preserve">% </w:t>
            </w:r>
            <w:r>
              <w:rPr>
                <w:rFonts w:ascii="SassoonPrimary" w:hAnsi="SassoonPrimary"/>
              </w:rPr>
              <w:t>(national not yet known)</w:t>
            </w:r>
          </w:p>
        </w:tc>
        <w:tc>
          <w:tcPr>
            <w:tcW w:w="2410" w:type="dxa"/>
            <w:shd w:val="clear" w:color="auto" w:fill="FFFFFF" w:themeFill="background1"/>
          </w:tcPr>
          <w:p w:rsidR="008E264B" w:rsidRDefault="00DD36EA" w:rsidP="005A056F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17</w:t>
            </w:r>
            <w:r w:rsidR="008E264B">
              <w:rPr>
                <w:rFonts w:ascii="SassoonPrimary" w:hAnsi="SassoonPrimary"/>
              </w:rPr>
              <w:t xml:space="preserve">% </w:t>
            </w:r>
            <w:r>
              <w:rPr>
                <w:rFonts w:ascii="SassoonPrimary" w:hAnsi="SassoonPrimary"/>
              </w:rPr>
              <w:t>(national not yet known)</w:t>
            </w:r>
          </w:p>
        </w:tc>
      </w:tr>
      <w:tr w:rsidR="008E264B" w:rsidTr="008E264B">
        <w:tc>
          <w:tcPr>
            <w:tcW w:w="1271" w:type="dxa"/>
            <w:vMerge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</w:tcPr>
          <w:p w:rsidR="008E264B" w:rsidRDefault="008E264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Combined</w:t>
            </w:r>
          </w:p>
        </w:tc>
        <w:tc>
          <w:tcPr>
            <w:tcW w:w="2410" w:type="dxa"/>
          </w:tcPr>
          <w:p w:rsidR="008E264B" w:rsidRDefault="008E264B" w:rsidP="009A1825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627" w:type="dxa"/>
          </w:tcPr>
          <w:p w:rsidR="008E264B" w:rsidRDefault="008E264B" w:rsidP="009A1825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:rsidR="008E264B" w:rsidRDefault="00DD36EA" w:rsidP="005A056F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60</w:t>
            </w:r>
            <w:r w:rsidR="008E264B">
              <w:rPr>
                <w:rFonts w:ascii="SassoonPrimary" w:hAnsi="SassoonPrimary"/>
              </w:rPr>
              <w:t xml:space="preserve">% </w:t>
            </w:r>
            <w:r>
              <w:rPr>
                <w:rFonts w:ascii="SassoonPrimary" w:hAnsi="SassoonPrimary"/>
              </w:rPr>
              <w:t>(national not yet known)</w:t>
            </w:r>
          </w:p>
        </w:tc>
        <w:tc>
          <w:tcPr>
            <w:tcW w:w="2410" w:type="dxa"/>
            <w:shd w:val="clear" w:color="auto" w:fill="FFFFFF" w:themeFill="background1"/>
          </w:tcPr>
          <w:p w:rsidR="008E264B" w:rsidRDefault="00DD36EA" w:rsidP="005A056F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3</w:t>
            </w:r>
            <w:r w:rsidR="008E264B">
              <w:rPr>
                <w:rFonts w:ascii="SassoonPrimary" w:hAnsi="SassoonPrimary"/>
              </w:rPr>
              <w:t xml:space="preserve">% </w:t>
            </w:r>
            <w:r>
              <w:rPr>
                <w:rFonts w:ascii="SassoonPrimary" w:hAnsi="SassoonPrimary"/>
              </w:rPr>
              <w:t>(national not yet known)</w:t>
            </w:r>
          </w:p>
        </w:tc>
      </w:tr>
      <w:tr w:rsidR="009A1825" w:rsidTr="008E264B">
        <w:tc>
          <w:tcPr>
            <w:tcW w:w="1271" w:type="dxa"/>
            <w:shd w:val="clear" w:color="auto" w:fill="A6A6A6" w:themeFill="background1" w:themeFillShade="A6"/>
          </w:tcPr>
          <w:p w:rsidR="009A1825" w:rsidRDefault="009A1825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9A1825" w:rsidRDefault="009A1825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9A1825" w:rsidRDefault="009A1825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627" w:type="dxa"/>
            <w:shd w:val="clear" w:color="auto" w:fill="A6A6A6" w:themeFill="background1" w:themeFillShade="A6"/>
          </w:tcPr>
          <w:p w:rsidR="009A1825" w:rsidRDefault="009A1825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759" w:type="dxa"/>
            <w:shd w:val="clear" w:color="auto" w:fill="A6A6A6" w:themeFill="background1" w:themeFillShade="A6"/>
          </w:tcPr>
          <w:p w:rsidR="009A1825" w:rsidRDefault="009A1825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9A1825" w:rsidRDefault="009A1825" w:rsidP="004B0CF3">
            <w:pPr>
              <w:jc w:val="center"/>
              <w:rPr>
                <w:rFonts w:ascii="SassoonPrimary" w:hAnsi="SassoonPrimary"/>
              </w:rPr>
            </w:pPr>
          </w:p>
        </w:tc>
      </w:tr>
      <w:tr w:rsidR="00E17A7A" w:rsidTr="008E264B">
        <w:tc>
          <w:tcPr>
            <w:tcW w:w="1271" w:type="dxa"/>
            <w:vMerge w:val="restart"/>
          </w:tcPr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</w:p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</w:p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KS2</w:t>
            </w:r>
          </w:p>
        </w:tc>
        <w:tc>
          <w:tcPr>
            <w:tcW w:w="1701" w:type="dxa"/>
          </w:tcPr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410" w:type="dxa"/>
          </w:tcPr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Expected Standard</w:t>
            </w:r>
          </w:p>
        </w:tc>
        <w:tc>
          <w:tcPr>
            <w:tcW w:w="2627" w:type="dxa"/>
          </w:tcPr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Greater Depth</w:t>
            </w:r>
          </w:p>
        </w:tc>
        <w:tc>
          <w:tcPr>
            <w:tcW w:w="2759" w:type="dxa"/>
          </w:tcPr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Average Scaled Score</w:t>
            </w:r>
          </w:p>
        </w:tc>
        <w:tc>
          <w:tcPr>
            <w:tcW w:w="2410" w:type="dxa"/>
          </w:tcPr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Progress Measure</w:t>
            </w:r>
          </w:p>
        </w:tc>
      </w:tr>
      <w:tr w:rsidR="00E554DB" w:rsidTr="00DD36EA">
        <w:tc>
          <w:tcPr>
            <w:tcW w:w="1271" w:type="dxa"/>
            <w:vMerge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Reading </w:t>
            </w:r>
          </w:p>
        </w:tc>
        <w:tc>
          <w:tcPr>
            <w:tcW w:w="2410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75% (national 73%)</w:t>
            </w:r>
          </w:p>
        </w:tc>
        <w:tc>
          <w:tcPr>
            <w:tcW w:w="2627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32% </w:t>
            </w:r>
            <w:r w:rsidR="007A08E7">
              <w:rPr>
                <w:rFonts w:ascii="SassoonPrimary" w:hAnsi="SassoonPrimary"/>
              </w:rPr>
              <w:t>(27%</w:t>
            </w:r>
            <w:r w:rsidR="004D1C42">
              <w:rPr>
                <w:rFonts w:ascii="SassoonPrimary" w:hAnsi="SassoonPrimary"/>
              </w:rPr>
              <w:t>)</w:t>
            </w:r>
          </w:p>
        </w:tc>
        <w:tc>
          <w:tcPr>
            <w:tcW w:w="2759" w:type="dxa"/>
            <w:shd w:val="clear" w:color="auto" w:fill="FFFFFF" w:themeFill="background1"/>
          </w:tcPr>
          <w:p w:rsidR="00E554DB" w:rsidRPr="00DD36EA" w:rsidRDefault="00DD36EA" w:rsidP="00E554DB">
            <w:pPr>
              <w:jc w:val="center"/>
              <w:rPr>
                <w:rFonts w:ascii="SassoonPrimary" w:hAnsi="SassoonPrimary"/>
              </w:rPr>
            </w:pPr>
            <w:r w:rsidRPr="00DD36EA">
              <w:rPr>
                <w:rFonts w:ascii="SassoonPrimary" w:hAnsi="SassoonPrimary"/>
              </w:rPr>
              <w:t>105</w:t>
            </w:r>
            <w:r w:rsidR="00091CB1">
              <w:rPr>
                <w:rFonts w:ascii="SassoonPrimary" w:hAnsi="SassoonPrimary"/>
              </w:rPr>
              <w:t xml:space="preserve"> (104)</w:t>
            </w:r>
          </w:p>
        </w:tc>
        <w:tc>
          <w:tcPr>
            <w:tcW w:w="2410" w:type="dxa"/>
            <w:shd w:val="clear" w:color="auto" w:fill="FFFFFF" w:themeFill="background1"/>
          </w:tcPr>
          <w:p w:rsidR="00E554DB" w:rsidRPr="00DD36EA" w:rsidRDefault="00DD36EA" w:rsidP="00E554DB">
            <w:pPr>
              <w:jc w:val="center"/>
              <w:rPr>
                <w:rFonts w:ascii="SassoonPrimary" w:hAnsi="SassoonPrimary"/>
              </w:rPr>
            </w:pPr>
            <w:r w:rsidRPr="00DD36EA">
              <w:rPr>
                <w:rFonts w:ascii="SassoonPrimary" w:hAnsi="SassoonPrimary"/>
              </w:rPr>
              <w:t>1.8</w:t>
            </w:r>
          </w:p>
        </w:tc>
      </w:tr>
      <w:tr w:rsidR="00E554DB" w:rsidTr="00DD36EA">
        <w:tc>
          <w:tcPr>
            <w:tcW w:w="1271" w:type="dxa"/>
            <w:vMerge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Writing</w:t>
            </w:r>
          </w:p>
        </w:tc>
        <w:tc>
          <w:tcPr>
            <w:tcW w:w="2410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75% (national 78%)</w:t>
            </w:r>
          </w:p>
        </w:tc>
        <w:tc>
          <w:tcPr>
            <w:tcW w:w="2627" w:type="dxa"/>
          </w:tcPr>
          <w:p w:rsidR="00E554DB" w:rsidRDefault="00E554DB" w:rsidP="007A08E7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18% </w:t>
            </w:r>
            <w:r w:rsidR="004D1C42">
              <w:rPr>
                <w:rFonts w:ascii="SassoonPrimary" w:hAnsi="SassoonPrimary"/>
              </w:rPr>
              <w:t>(</w:t>
            </w:r>
            <w:r w:rsidR="007A08E7">
              <w:rPr>
                <w:rFonts w:ascii="SassoonPrimary" w:hAnsi="SassoonPrimary"/>
              </w:rPr>
              <w:t>20%</w:t>
            </w:r>
            <w:r w:rsidR="004D1C42">
              <w:rPr>
                <w:rFonts w:ascii="SassoonPrimary" w:hAnsi="SassoonPrimary"/>
              </w:rPr>
              <w:t>)</w:t>
            </w:r>
          </w:p>
        </w:tc>
        <w:tc>
          <w:tcPr>
            <w:tcW w:w="2759" w:type="dxa"/>
            <w:shd w:val="clear" w:color="auto" w:fill="FFFFFF" w:themeFill="background1"/>
          </w:tcPr>
          <w:p w:rsidR="00E554DB" w:rsidRPr="00DD36EA" w:rsidRDefault="00DD36EA" w:rsidP="00E554DB">
            <w:pPr>
              <w:jc w:val="center"/>
              <w:rPr>
                <w:rFonts w:ascii="SassoonPrimary" w:hAnsi="SassoonPrimary"/>
              </w:rPr>
            </w:pPr>
            <w:r w:rsidRPr="00DD36EA">
              <w:rPr>
                <w:rFonts w:ascii="SassoonPrimary" w:hAnsi="SassoonPrimary"/>
              </w:rPr>
              <w:t>104</w:t>
            </w:r>
          </w:p>
        </w:tc>
        <w:tc>
          <w:tcPr>
            <w:tcW w:w="2410" w:type="dxa"/>
            <w:shd w:val="clear" w:color="auto" w:fill="FFFFFF" w:themeFill="background1"/>
          </w:tcPr>
          <w:p w:rsidR="00E554DB" w:rsidRPr="00DD36EA" w:rsidRDefault="00DD36EA" w:rsidP="00E554DB">
            <w:pPr>
              <w:jc w:val="center"/>
              <w:rPr>
                <w:rFonts w:ascii="SassoonPrimary" w:hAnsi="SassoonPrimary"/>
              </w:rPr>
            </w:pPr>
            <w:r w:rsidRPr="00DD36EA">
              <w:rPr>
                <w:rFonts w:ascii="SassoonPrimary" w:hAnsi="SassoonPrimary"/>
              </w:rPr>
              <w:t>0.3</w:t>
            </w:r>
          </w:p>
        </w:tc>
      </w:tr>
      <w:tr w:rsidR="00E554DB" w:rsidTr="008E264B">
        <w:tc>
          <w:tcPr>
            <w:tcW w:w="1271" w:type="dxa"/>
            <w:vMerge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Mathematics </w:t>
            </w:r>
          </w:p>
        </w:tc>
        <w:tc>
          <w:tcPr>
            <w:tcW w:w="2410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79% (national 79%)</w:t>
            </w:r>
          </w:p>
        </w:tc>
        <w:tc>
          <w:tcPr>
            <w:tcW w:w="2627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29% </w:t>
            </w:r>
            <w:r w:rsidR="007A08E7">
              <w:rPr>
                <w:rFonts w:ascii="SassoonPrimary" w:hAnsi="SassoonPrimary"/>
              </w:rPr>
              <w:t>(27%</w:t>
            </w:r>
            <w:r w:rsidR="004D1C42">
              <w:rPr>
                <w:rFonts w:ascii="SassoonPrimary" w:hAnsi="SassoonPrimary"/>
              </w:rPr>
              <w:t>)</w:t>
            </w:r>
          </w:p>
        </w:tc>
        <w:tc>
          <w:tcPr>
            <w:tcW w:w="2759" w:type="dxa"/>
          </w:tcPr>
          <w:p w:rsidR="00E554DB" w:rsidRPr="00DD36EA" w:rsidRDefault="00DD36EA" w:rsidP="00E554DB">
            <w:pPr>
              <w:jc w:val="center"/>
              <w:rPr>
                <w:rFonts w:ascii="SassoonPrimary" w:hAnsi="SassoonPrimary"/>
              </w:rPr>
            </w:pPr>
            <w:r w:rsidRPr="00DD36EA">
              <w:rPr>
                <w:rFonts w:ascii="SassoonPrimary" w:hAnsi="SassoonPrimary"/>
              </w:rPr>
              <w:t>106</w:t>
            </w:r>
            <w:r w:rsidR="00091CB1">
              <w:rPr>
                <w:rFonts w:ascii="SassoonPrimary" w:hAnsi="SassoonPrimary"/>
              </w:rPr>
              <w:t xml:space="preserve"> (105)</w:t>
            </w:r>
          </w:p>
        </w:tc>
        <w:tc>
          <w:tcPr>
            <w:tcW w:w="2410" w:type="dxa"/>
          </w:tcPr>
          <w:p w:rsidR="00E554DB" w:rsidRPr="00DD36EA" w:rsidRDefault="00DD36EA" w:rsidP="00E554DB">
            <w:pPr>
              <w:jc w:val="center"/>
              <w:rPr>
                <w:rFonts w:ascii="SassoonPrimary" w:hAnsi="SassoonPrimary"/>
              </w:rPr>
            </w:pPr>
            <w:r w:rsidRPr="00DD36EA">
              <w:rPr>
                <w:rFonts w:ascii="SassoonPrimary" w:hAnsi="SassoonPrimary"/>
              </w:rPr>
              <w:t>2.4</w:t>
            </w:r>
          </w:p>
        </w:tc>
      </w:tr>
      <w:tr w:rsidR="00E17A7A" w:rsidTr="008E264B">
        <w:tc>
          <w:tcPr>
            <w:tcW w:w="1271" w:type="dxa"/>
            <w:vMerge/>
          </w:tcPr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701" w:type="dxa"/>
          </w:tcPr>
          <w:p w:rsidR="00E17A7A" w:rsidRDefault="008659F2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C</w:t>
            </w:r>
            <w:r w:rsidR="00E17A7A">
              <w:rPr>
                <w:rFonts w:ascii="SassoonPrimary" w:hAnsi="SassoonPrimary"/>
              </w:rPr>
              <w:t>ombined</w:t>
            </w:r>
          </w:p>
        </w:tc>
        <w:tc>
          <w:tcPr>
            <w:tcW w:w="2410" w:type="dxa"/>
          </w:tcPr>
          <w:p w:rsidR="00E17A7A" w:rsidRDefault="00E554DB" w:rsidP="004B0CF3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68% (national 65</w:t>
            </w:r>
            <w:r w:rsidR="005A056F">
              <w:rPr>
                <w:rFonts w:ascii="SassoonPrimary" w:hAnsi="SassoonPrimary"/>
              </w:rPr>
              <w:t>%)</w:t>
            </w:r>
          </w:p>
        </w:tc>
        <w:tc>
          <w:tcPr>
            <w:tcW w:w="2627" w:type="dxa"/>
            <w:shd w:val="clear" w:color="auto" w:fill="auto"/>
          </w:tcPr>
          <w:p w:rsidR="00E17A7A" w:rsidRDefault="00091CB1" w:rsidP="007A08E7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14</w:t>
            </w:r>
            <w:r w:rsidR="005A056F">
              <w:rPr>
                <w:rFonts w:ascii="SassoonPrimary" w:hAnsi="SassoonPrimary"/>
              </w:rPr>
              <w:t xml:space="preserve">% </w:t>
            </w:r>
            <w:r w:rsidR="004D1C42">
              <w:rPr>
                <w:rFonts w:ascii="SassoonPrimary" w:hAnsi="SassoonPrimary"/>
              </w:rPr>
              <w:t>(</w:t>
            </w:r>
            <w:r w:rsidR="007A08E7">
              <w:rPr>
                <w:rFonts w:ascii="SassoonPrimary" w:hAnsi="SassoonPrimary"/>
              </w:rPr>
              <w:t>11%</w:t>
            </w:r>
            <w:r w:rsidR="004D1C42">
              <w:rPr>
                <w:rFonts w:ascii="SassoonPrimary" w:hAnsi="SassoonPrimary"/>
              </w:rPr>
              <w:t>)</w:t>
            </w:r>
          </w:p>
        </w:tc>
        <w:tc>
          <w:tcPr>
            <w:tcW w:w="2759" w:type="dxa"/>
            <w:shd w:val="clear" w:color="auto" w:fill="A6A6A6" w:themeFill="background1" w:themeFillShade="A6"/>
          </w:tcPr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E17A7A" w:rsidRDefault="00E17A7A" w:rsidP="004B0CF3">
            <w:pPr>
              <w:jc w:val="center"/>
              <w:rPr>
                <w:rFonts w:ascii="SassoonPrimary" w:hAnsi="SassoonPrimary"/>
              </w:rPr>
            </w:pPr>
          </w:p>
        </w:tc>
      </w:tr>
    </w:tbl>
    <w:p w:rsidR="009A1825" w:rsidRDefault="009A1825" w:rsidP="00E17A7A">
      <w:pPr>
        <w:rPr>
          <w:rFonts w:ascii="SassoonPrimary" w:hAnsi="SassoonPrimary"/>
        </w:rPr>
      </w:pPr>
    </w:p>
    <w:tbl>
      <w:tblPr>
        <w:tblStyle w:val="TableGrid"/>
        <w:tblpPr w:leftFromText="180" w:rightFromText="180" w:vertAnchor="text" w:horzAnchor="page" w:tblpX="3751" w:tblpY="110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224FFA" w:rsidTr="00224FFA">
        <w:tc>
          <w:tcPr>
            <w:tcW w:w="3237" w:type="dxa"/>
          </w:tcPr>
          <w:p w:rsidR="00224FFA" w:rsidRPr="008659F2" w:rsidRDefault="00224FFA" w:rsidP="00224FFA">
            <w:pPr>
              <w:rPr>
                <w:rFonts w:ascii="SassoonPrimary" w:hAnsi="SassoonPrimary"/>
              </w:rPr>
            </w:pPr>
            <w:r w:rsidRPr="008659F2">
              <w:rPr>
                <w:rFonts w:ascii="SassoonPrimary" w:hAnsi="SassoonPrimary"/>
              </w:rPr>
              <w:t>Early Years Foundation Stage</w:t>
            </w:r>
          </w:p>
        </w:tc>
        <w:tc>
          <w:tcPr>
            <w:tcW w:w="3237" w:type="dxa"/>
          </w:tcPr>
          <w:p w:rsidR="00224FFA" w:rsidRPr="008659F2" w:rsidRDefault="00224FFA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67</w:t>
            </w:r>
            <w:r w:rsidRPr="008659F2">
              <w:rPr>
                <w:rFonts w:ascii="SassoonPrimary" w:hAnsi="SassoonPrimary"/>
              </w:rPr>
              <w:t xml:space="preserve">% School </w:t>
            </w:r>
          </w:p>
        </w:tc>
        <w:tc>
          <w:tcPr>
            <w:tcW w:w="3238" w:type="dxa"/>
          </w:tcPr>
          <w:p w:rsidR="00224FFA" w:rsidRPr="008659F2" w:rsidRDefault="00224FFA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72</w:t>
            </w:r>
            <w:r w:rsidRPr="008659F2">
              <w:rPr>
                <w:rFonts w:ascii="SassoonPrimary" w:hAnsi="SassoonPrimary"/>
              </w:rPr>
              <w:t xml:space="preserve">% National </w:t>
            </w:r>
          </w:p>
        </w:tc>
      </w:tr>
      <w:tr w:rsidR="00224FFA" w:rsidTr="00224FFA">
        <w:tc>
          <w:tcPr>
            <w:tcW w:w="3237" w:type="dxa"/>
          </w:tcPr>
          <w:p w:rsidR="00224FFA" w:rsidRPr="008659F2" w:rsidRDefault="00224FFA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Phonics </w:t>
            </w:r>
          </w:p>
        </w:tc>
        <w:tc>
          <w:tcPr>
            <w:tcW w:w="3237" w:type="dxa"/>
          </w:tcPr>
          <w:p w:rsidR="00224FFA" w:rsidRPr="008659F2" w:rsidRDefault="00224FFA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79</w:t>
            </w:r>
            <w:r w:rsidRPr="008659F2">
              <w:rPr>
                <w:rFonts w:ascii="SassoonPrimary" w:hAnsi="SassoonPrimary"/>
              </w:rPr>
              <w:t xml:space="preserve">% School </w:t>
            </w:r>
          </w:p>
        </w:tc>
        <w:tc>
          <w:tcPr>
            <w:tcW w:w="3238" w:type="dxa"/>
          </w:tcPr>
          <w:p w:rsidR="00224FFA" w:rsidRPr="008659F2" w:rsidRDefault="00224FFA" w:rsidP="00224FFA">
            <w:pPr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83</w:t>
            </w:r>
            <w:r w:rsidRPr="008659F2">
              <w:rPr>
                <w:rFonts w:ascii="SassoonPrimary" w:hAnsi="SassoonPrimary"/>
              </w:rPr>
              <w:t xml:space="preserve">% National </w:t>
            </w:r>
          </w:p>
        </w:tc>
      </w:tr>
    </w:tbl>
    <w:p w:rsidR="005A056F" w:rsidRPr="005A056F" w:rsidRDefault="005A056F" w:rsidP="005A056F">
      <w:pPr>
        <w:rPr>
          <w:rFonts w:ascii="SassoonPrimary" w:hAnsi="SassoonPrimary"/>
          <w:sz w:val="28"/>
          <w:szCs w:val="28"/>
        </w:rPr>
      </w:pPr>
      <w:r w:rsidRPr="005A056F">
        <w:rPr>
          <w:rFonts w:ascii="SassoonPrimary" w:hAnsi="SassoonPrimary"/>
          <w:sz w:val="28"/>
          <w:szCs w:val="28"/>
        </w:rPr>
        <w:t xml:space="preserve">2017 – 2018 </w:t>
      </w:r>
    </w:p>
    <w:p w:rsidR="005A056F" w:rsidRPr="005A056F" w:rsidRDefault="005A056F" w:rsidP="005A056F">
      <w:pPr>
        <w:jc w:val="center"/>
        <w:rPr>
          <w:rFonts w:ascii="SassoonPrimary" w:hAnsi="SassoonPrimary"/>
          <w:sz w:val="18"/>
          <w:szCs w:val="18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664"/>
        <w:gridCol w:w="1664"/>
        <w:gridCol w:w="2337"/>
        <w:gridCol w:w="2344"/>
        <w:gridCol w:w="2759"/>
        <w:gridCol w:w="2410"/>
      </w:tblGrid>
      <w:tr w:rsidR="008E264B" w:rsidTr="008E264B">
        <w:tc>
          <w:tcPr>
            <w:tcW w:w="1664" w:type="dxa"/>
            <w:vMerge w:val="restart"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</w:p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</w:p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KS1</w:t>
            </w:r>
          </w:p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337" w:type="dxa"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Foundations</w:t>
            </w:r>
          </w:p>
        </w:tc>
        <w:tc>
          <w:tcPr>
            <w:tcW w:w="2344" w:type="dxa"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Working towards</w:t>
            </w:r>
          </w:p>
        </w:tc>
        <w:tc>
          <w:tcPr>
            <w:tcW w:w="2759" w:type="dxa"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Expected Standard</w:t>
            </w:r>
          </w:p>
        </w:tc>
        <w:tc>
          <w:tcPr>
            <w:tcW w:w="2410" w:type="dxa"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Greater Depth</w:t>
            </w:r>
          </w:p>
        </w:tc>
      </w:tr>
      <w:tr w:rsidR="00E554DB" w:rsidTr="008E264B">
        <w:tc>
          <w:tcPr>
            <w:tcW w:w="1664" w:type="dxa"/>
            <w:vMerge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Reading </w:t>
            </w:r>
          </w:p>
        </w:tc>
        <w:tc>
          <w:tcPr>
            <w:tcW w:w="2337" w:type="dxa"/>
          </w:tcPr>
          <w:p w:rsidR="00E554DB" w:rsidRDefault="00224FFA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17</w:t>
            </w:r>
            <w:r w:rsidR="00E554DB">
              <w:rPr>
                <w:rFonts w:ascii="SassoonPrimary" w:hAnsi="SassoonPrimary"/>
              </w:rPr>
              <w:t>%</w:t>
            </w:r>
          </w:p>
        </w:tc>
        <w:tc>
          <w:tcPr>
            <w:tcW w:w="2344" w:type="dxa"/>
          </w:tcPr>
          <w:p w:rsidR="00E554DB" w:rsidRDefault="00224FFA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20</w:t>
            </w:r>
            <w:r w:rsidR="00E554DB">
              <w:rPr>
                <w:rFonts w:ascii="SassoonPrimary" w:hAnsi="SassoonPrimary"/>
              </w:rPr>
              <w:t>%</w:t>
            </w:r>
          </w:p>
        </w:tc>
        <w:tc>
          <w:tcPr>
            <w:tcW w:w="2759" w:type="dxa"/>
            <w:shd w:val="clear" w:color="auto" w:fill="FFFFFF" w:themeFill="background1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63% (national 75</w:t>
            </w:r>
            <w:r w:rsidR="00E554DB">
              <w:rPr>
                <w:rFonts w:ascii="SassoonPrimary" w:hAnsi="SassoonPrimary"/>
              </w:rPr>
              <w:t>%)</w:t>
            </w:r>
          </w:p>
        </w:tc>
        <w:tc>
          <w:tcPr>
            <w:tcW w:w="2410" w:type="dxa"/>
            <w:shd w:val="clear" w:color="auto" w:fill="FFFFFF" w:themeFill="background1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20% (national 26</w:t>
            </w:r>
            <w:r w:rsidR="00E554DB">
              <w:rPr>
                <w:rFonts w:ascii="SassoonPrimary" w:hAnsi="SassoonPrimary"/>
              </w:rPr>
              <w:t>%)</w:t>
            </w:r>
          </w:p>
        </w:tc>
      </w:tr>
      <w:tr w:rsidR="00E554DB" w:rsidTr="008E264B">
        <w:tc>
          <w:tcPr>
            <w:tcW w:w="1664" w:type="dxa"/>
            <w:vMerge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Writing</w:t>
            </w:r>
          </w:p>
        </w:tc>
        <w:tc>
          <w:tcPr>
            <w:tcW w:w="2337" w:type="dxa"/>
          </w:tcPr>
          <w:p w:rsidR="00E554DB" w:rsidRDefault="00224FFA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13</w:t>
            </w:r>
            <w:r w:rsidR="00E554DB">
              <w:rPr>
                <w:rFonts w:ascii="SassoonPrimary" w:hAnsi="SassoonPrimary"/>
              </w:rPr>
              <w:t>%</w:t>
            </w:r>
          </w:p>
        </w:tc>
        <w:tc>
          <w:tcPr>
            <w:tcW w:w="2344" w:type="dxa"/>
          </w:tcPr>
          <w:p w:rsidR="00E554DB" w:rsidRDefault="00224FFA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20</w:t>
            </w:r>
            <w:r w:rsidR="00E554DB">
              <w:rPr>
                <w:rFonts w:ascii="SassoonPrimary" w:hAnsi="SassoonPrimary"/>
              </w:rPr>
              <w:t>%</w:t>
            </w:r>
          </w:p>
        </w:tc>
        <w:tc>
          <w:tcPr>
            <w:tcW w:w="2759" w:type="dxa"/>
            <w:shd w:val="clear" w:color="auto" w:fill="FFFFFF" w:themeFill="background1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67</w:t>
            </w:r>
            <w:r w:rsidR="00E554DB">
              <w:rPr>
                <w:rFonts w:ascii="SassoonPrimary" w:hAnsi="SassoonPrimary"/>
              </w:rPr>
              <w:t xml:space="preserve">% </w:t>
            </w:r>
            <w:r>
              <w:rPr>
                <w:rFonts w:ascii="SassoonPrimary" w:hAnsi="SassoonPrimary"/>
              </w:rPr>
              <w:t>(national 70</w:t>
            </w:r>
            <w:r w:rsidR="00E554DB">
              <w:rPr>
                <w:rFonts w:ascii="SassoonPrimary" w:hAnsi="SassoonPrimary"/>
              </w:rPr>
              <w:t>%)</w:t>
            </w:r>
          </w:p>
        </w:tc>
        <w:tc>
          <w:tcPr>
            <w:tcW w:w="2410" w:type="dxa"/>
            <w:shd w:val="clear" w:color="auto" w:fill="FFFFFF" w:themeFill="background1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10% (national 16</w:t>
            </w:r>
            <w:r w:rsidR="00E554DB">
              <w:rPr>
                <w:rFonts w:ascii="SassoonPrimary" w:hAnsi="SassoonPrimary"/>
              </w:rPr>
              <w:t>%)</w:t>
            </w:r>
          </w:p>
        </w:tc>
      </w:tr>
      <w:tr w:rsidR="00E554DB" w:rsidTr="008E264B">
        <w:tc>
          <w:tcPr>
            <w:tcW w:w="1664" w:type="dxa"/>
            <w:vMerge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Mathematics </w:t>
            </w:r>
          </w:p>
        </w:tc>
        <w:tc>
          <w:tcPr>
            <w:tcW w:w="2337" w:type="dxa"/>
          </w:tcPr>
          <w:p w:rsidR="00E554DB" w:rsidRDefault="00224FFA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13</w:t>
            </w:r>
            <w:r w:rsidR="00E554DB">
              <w:rPr>
                <w:rFonts w:ascii="SassoonPrimary" w:hAnsi="SassoonPrimary"/>
              </w:rPr>
              <w:t>%</w:t>
            </w:r>
          </w:p>
        </w:tc>
        <w:tc>
          <w:tcPr>
            <w:tcW w:w="2344" w:type="dxa"/>
          </w:tcPr>
          <w:p w:rsidR="00E554DB" w:rsidRDefault="00224FFA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17</w:t>
            </w:r>
            <w:r w:rsidR="00E554DB">
              <w:rPr>
                <w:rFonts w:ascii="SassoonPrimary" w:hAnsi="SassoonPrimary"/>
              </w:rPr>
              <w:t>%</w:t>
            </w:r>
          </w:p>
        </w:tc>
        <w:tc>
          <w:tcPr>
            <w:tcW w:w="2759" w:type="dxa"/>
            <w:shd w:val="clear" w:color="auto" w:fill="FFFFFF" w:themeFill="background1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70% (national 76</w:t>
            </w:r>
            <w:r w:rsidR="00E554DB">
              <w:rPr>
                <w:rFonts w:ascii="SassoonPrimary" w:hAnsi="SassoonPrimary"/>
              </w:rPr>
              <w:t>%)</w:t>
            </w:r>
          </w:p>
        </w:tc>
        <w:tc>
          <w:tcPr>
            <w:tcW w:w="2410" w:type="dxa"/>
            <w:shd w:val="clear" w:color="auto" w:fill="FFFFFF" w:themeFill="background1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13% (national 22</w:t>
            </w:r>
            <w:r w:rsidR="00E554DB">
              <w:rPr>
                <w:rFonts w:ascii="SassoonPrimary" w:hAnsi="SassoonPrimary"/>
              </w:rPr>
              <w:t>%)</w:t>
            </w:r>
          </w:p>
        </w:tc>
      </w:tr>
      <w:tr w:rsidR="008E264B" w:rsidTr="00224FFA">
        <w:tc>
          <w:tcPr>
            <w:tcW w:w="1664" w:type="dxa"/>
            <w:vMerge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Combined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344" w:type="dxa"/>
            <w:shd w:val="clear" w:color="auto" w:fill="A6A6A6" w:themeFill="background1" w:themeFillShade="A6"/>
          </w:tcPr>
          <w:p w:rsidR="008E264B" w:rsidRDefault="008E264B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:rsidR="008E264B" w:rsidRDefault="00EE5858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63% (national 65</w:t>
            </w:r>
            <w:r w:rsidR="008E264B">
              <w:rPr>
                <w:rFonts w:ascii="SassoonPrimary" w:hAnsi="SassoonPrimary"/>
              </w:rPr>
              <w:t>%)</w:t>
            </w:r>
          </w:p>
        </w:tc>
        <w:tc>
          <w:tcPr>
            <w:tcW w:w="2410" w:type="dxa"/>
            <w:shd w:val="clear" w:color="auto" w:fill="FFFFFF" w:themeFill="background1"/>
          </w:tcPr>
          <w:p w:rsidR="008E264B" w:rsidRDefault="00EE5858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10% (national 12</w:t>
            </w:r>
            <w:r w:rsidR="008E264B">
              <w:rPr>
                <w:rFonts w:ascii="SassoonPrimary" w:hAnsi="SassoonPrimary"/>
              </w:rPr>
              <w:t>%)</w:t>
            </w:r>
          </w:p>
        </w:tc>
      </w:tr>
      <w:tr w:rsidR="005A056F" w:rsidTr="008E264B">
        <w:tc>
          <w:tcPr>
            <w:tcW w:w="1664" w:type="dxa"/>
            <w:shd w:val="clear" w:color="auto" w:fill="A6A6A6" w:themeFill="background1" w:themeFillShade="A6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337" w:type="dxa"/>
            <w:shd w:val="clear" w:color="auto" w:fill="A6A6A6" w:themeFill="background1" w:themeFillShade="A6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344" w:type="dxa"/>
            <w:shd w:val="clear" w:color="auto" w:fill="A6A6A6" w:themeFill="background1" w:themeFillShade="A6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759" w:type="dxa"/>
            <w:shd w:val="clear" w:color="auto" w:fill="A6A6A6" w:themeFill="background1" w:themeFillShade="A6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</w:tr>
      <w:tr w:rsidR="005A056F" w:rsidTr="008E264B">
        <w:tc>
          <w:tcPr>
            <w:tcW w:w="1664" w:type="dxa"/>
            <w:vMerge w:val="restart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KS2</w:t>
            </w:r>
          </w:p>
        </w:tc>
        <w:tc>
          <w:tcPr>
            <w:tcW w:w="1664" w:type="dxa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337" w:type="dxa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Expected Standard</w:t>
            </w:r>
          </w:p>
        </w:tc>
        <w:tc>
          <w:tcPr>
            <w:tcW w:w="2344" w:type="dxa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Greater Depth</w:t>
            </w:r>
          </w:p>
        </w:tc>
        <w:tc>
          <w:tcPr>
            <w:tcW w:w="2759" w:type="dxa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Average Scaled Score</w:t>
            </w:r>
          </w:p>
        </w:tc>
        <w:tc>
          <w:tcPr>
            <w:tcW w:w="2410" w:type="dxa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Progress Measure</w:t>
            </w:r>
          </w:p>
        </w:tc>
      </w:tr>
      <w:tr w:rsidR="00E554DB" w:rsidTr="00EE5858">
        <w:tc>
          <w:tcPr>
            <w:tcW w:w="1664" w:type="dxa"/>
            <w:vMerge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Reading </w:t>
            </w:r>
          </w:p>
        </w:tc>
        <w:tc>
          <w:tcPr>
            <w:tcW w:w="2337" w:type="dxa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62</w:t>
            </w:r>
            <w:r w:rsidR="00E554DB">
              <w:rPr>
                <w:rFonts w:ascii="SassoonPrimary" w:hAnsi="SassoonPrimary"/>
              </w:rPr>
              <w:t>% (national</w:t>
            </w:r>
            <w:r>
              <w:rPr>
                <w:rFonts w:ascii="SassoonPrimary" w:hAnsi="SassoonPrimary"/>
              </w:rPr>
              <w:t xml:space="preserve"> 75</w:t>
            </w:r>
            <w:r w:rsidR="00E554DB">
              <w:rPr>
                <w:rFonts w:ascii="SassoonPrimary" w:hAnsi="SassoonPrimary"/>
              </w:rPr>
              <w:t>%)</w:t>
            </w:r>
          </w:p>
        </w:tc>
        <w:tc>
          <w:tcPr>
            <w:tcW w:w="2344" w:type="dxa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0% (national 28</w:t>
            </w:r>
            <w:r w:rsidR="00E554DB">
              <w:rPr>
                <w:rFonts w:ascii="SassoonPrimary" w:hAnsi="SassoonPrimary"/>
              </w:rPr>
              <w:t>%)</w:t>
            </w:r>
          </w:p>
        </w:tc>
        <w:tc>
          <w:tcPr>
            <w:tcW w:w="2759" w:type="dxa"/>
            <w:shd w:val="clear" w:color="auto" w:fill="auto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100.8</w:t>
            </w:r>
          </w:p>
        </w:tc>
        <w:tc>
          <w:tcPr>
            <w:tcW w:w="2410" w:type="dxa"/>
            <w:shd w:val="clear" w:color="auto" w:fill="auto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-3.6</w:t>
            </w:r>
          </w:p>
        </w:tc>
      </w:tr>
      <w:tr w:rsidR="00E554DB" w:rsidTr="00EE5858">
        <w:tc>
          <w:tcPr>
            <w:tcW w:w="1664" w:type="dxa"/>
            <w:vMerge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Writing</w:t>
            </w:r>
          </w:p>
        </w:tc>
        <w:tc>
          <w:tcPr>
            <w:tcW w:w="2337" w:type="dxa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74% (national 78</w:t>
            </w:r>
            <w:r w:rsidR="00E554DB">
              <w:rPr>
                <w:rFonts w:ascii="SassoonPrimary" w:hAnsi="SassoonPrimary"/>
              </w:rPr>
              <w:t>%)</w:t>
            </w:r>
          </w:p>
        </w:tc>
        <w:tc>
          <w:tcPr>
            <w:tcW w:w="2344" w:type="dxa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15% (national 20</w:t>
            </w:r>
            <w:r w:rsidR="00E554DB">
              <w:rPr>
                <w:rFonts w:ascii="SassoonPrimary" w:hAnsi="SassoonPrimary"/>
              </w:rPr>
              <w:t>%)</w:t>
            </w:r>
          </w:p>
        </w:tc>
        <w:tc>
          <w:tcPr>
            <w:tcW w:w="2759" w:type="dxa"/>
            <w:shd w:val="clear" w:color="auto" w:fill="A6A6A6" w:themeFill="background1" w:themeFillShade="A6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</w:tr>
      <w:tr w:rsidR="00E554DB" w:rsidTr="008E264B">
        <w:tc>
          <w:tcPr>
            <w:tcW w:w="1664" w:type="dxa"/>
            <w:vMerge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</w:tcPr>
          <w:p w:rsidR="00E554DB" w:rsidRDefault="00E554DB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Mathematics </w:t>
            </w:r>
          </w:p>
        </w:tc>
        <w:tc>
          <w:tcPr>
            <w:tcW w:w="2337" w:type="dxa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59% (national 76</w:t>
            </w:r>
            <w:r w:rsidR="00E554DB">
              <w:rPr>
                <w:rFonts w:ascii="SassoonPrimary" w:hAnsi="SassoonPrimary"/>
              </w:rPr>
              <w:t>%)</w:t>
            </w:r>
          </w:p>
        </w:tc>
        <w:tc>
          <w:tcPr>
            <w:tcW w:w="2344" w:type="dxa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3% (national 24</w:t>
            </w:r>
            <w:r w:rsidR="00E554DB">
              <w:rPr>
                <w:rFonts w:ascii="SassoonPrimary" w:hAnsi="SassoonPrimary"/>
              </w:rPr>
              <w:t>%)</w:t>
            </w:r>
          </w:p>
        </w:tc>
        <w:tc>
          <w:tcPr>
            <w:tcW w:w="2759" w:type="dxa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99.8</w:t>
            </w:r>
          </w:p>
        </w:tc>
        <w:tc>
          <w:tcPr>
            <w:tcW w:w="2410" w:type="dxa"/>
          </w:tcPr>
          <w:p w:rsidR="00E554DB" w:rsidRDefault="00EE5858" w:rsidP="00E554DB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-3.1</w:t>
            </w:r>
          </w:p>
        </w:tc>
      </w:tr>
      <w:tr w:rsidR="005A056F" w:rsidTr="008E264B">
        <w:tc>
          <w:tcPr>
            <w:tcW w:w="1664" w:type="dxa"/>
            <w:vMerge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1664" w:type="dxa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Combined</w:t>
            </w:r>
          </w:p>
        </w:tc>
        <w:tc>
          <w:tcPr>
            <w:tcW w:w="2337" w:type="dxa"/>
          </w:tcPr>
          <w:p w:rsidR="005A056F" w:rsidRDefault="00EE5858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53% (national 64</w:t>
            </w:r>
            <w:r w:rsidR="005A056F">
              <w:rPr>
                <w:rFonts w:ascii="SassoonPrimary" w:hAnsi="SassoonPrimary"/>
              </w:rPr>
              <w:t>%)</w:t>
            </w:r>
          </w:p>
        </w:tc>
        <w:tc>
          <w:tcPr>
            <w:tcW w:w="2344" w:type="dxa"/>
            <w:shd w:val="clear" w:color="auto" w:fill="auto"/>
          </w:tcPr>
          <w:p w:rsidR="005A056F" w:rsidRDefault="00EE5858" w:rsidP="003F39FD">
            <w:pPr>
              <w:jc w:val="center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>0% (national 10</w:t>
            </w:r>
            <w:r w:rsidR="005A056F">
              <w:rPr>
                <w:rFonts w:ascii="SassoonPrimary" w:hAnsi="SassoonPrimary"/>
              </w:rPr>
              <w:t>%)</w:t>
            </w:r>
          </w:p>
        </w:tc>
        <w:tc>
          <w:tcPr>
            <w:tcW w:w="2759" w:type="dxa"/>
            <w:shd w:val="clear" w:color="auto" w:fill="A6A6A6" w:themeFill="background1" w:themeFillShade="A6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5A056F" w:rsidRDefault="005A056F" w:rsidP="003F39FD">
            <w:pPr>
              <w:jc w:val="center"/>
              <w:rPr>
                <w:rFonts w:ascii="SassoonPrimary" w:hAnsi="SassoonPrimary"/>
              </w:rPr>
            </w:pPr>
          </w:p>
        </w:tc>
      </w:tr>
    </w:tbl>
    <w:p w:rsidR="005A056F" w:rsidRDefault="005A056F" w:rsidP="005A056F">
      <w:pPr>
        <w:rPr>
          <w:rFonts w:ascii="SassoonPrimary" w:hAnsi="SassoonPrimary"/>
          <w:sz w:val="44"/>
          <w:szCs w:val="44"/>
        </w:rPr>
      </w:pPr>
    </w:p>
    <w:sectPr w:rsidR="005A056F" w:rsidSect="005A056F">
      <w:pgSz w:w="15840" w:h="12240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1C"/>
    <w:rsid w:val="00091CB1"/>
    <w:rsid w:val="001329C0"/>
    <w:rsid w:val="00224FFA"/>
    <w:rsid w:val="002F617F"/>
    <w:rsid w:val="00445167"/>
    <w:rsid w:val="0046156C"/>
    <w:rsid w:val="004D1C42"/>
    <w:rsid w:val="00523CA0"/>
    <w:rsid w:val="005374B0"/>
    <w:rsid w:val="005A056F"/>
    <w:rsid w:val="00672AB2"/>
    <w:rsid w:val="007A08E7"/>
    <w:rsid w:val="007D2F89"/>
    <w:rsid w:val="008659F2"/>
    <w:rsid w:val="008E264B"/>
    <w:rsid w:val="008F501C"/>
    <w:rsid w:val="0095368F"/>
    <w:rsid w:val="009A1825"/>
    <w:rsid w:val="00B60740"/>
    <w:rsid w:val="00DD36EA"/>
    <w:rsid w:val="00E01D72"/>
    <w:rsid w:val="00E17A7A"/>
    <w:rsid w:val="00E554DB"/>
    <w:rsid w:val="00E65D21"/>
    <w:rsid w:val="00EE5858"/>
    <w:rsid w:val="00F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30F4"/>
  <w15:docId w15:val="{209815BA-6736-4F9B-A8A0-612AC9C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Dearne Carrfield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J.Winnard</dc:creator>
  <cp:lastModifiedBy>r.lancaster</cp:lastModifiedBy>
  <cp:revision>7</cp:revision>
  <dcterms:created xsi:type="dcterms:W3CDTF">2019-07-09T09:36:00Z</dcterms:created>
  <dcterms:modified xsi:type="dcterms:W3CDTF">2019-09-11T09:38:00Z</dcterms:modified>
</cp:coreProperties>
</file>